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201</w:t>
      </w:r>
      <w:r>
        <w:rPr>
          <w:rFonts w:hint="eastAsia" w:ascii="宋体" w:hAnsi="宋体"/>
          <w:b/>
          <w:sz w:val="24"/>
          <w:szCs w:val="24"/>
        </w:rPr>
        <w:t>9年临床执业医师《医学免疫学》考试大纲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2019年临床执业医师《医学免疫学》考试大纲已经顺利公布，请广大临床执业医师考生参考：</w:t>
      </w:r>
    </w:p>
    <w:tbl>
      <w:tblPr>
        <w:tblStyle w:val="7"/>
        <w:tblW w:w="804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0"/>
        <w:gridCol w:w="2140"/>
        <w:gridCol w:w="376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单元</w:t>
            </w:r>
          </w:p>
        </w:tc>
        <w:tc>
          <w:tcPr>
            <w:tcW w:w="21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细目</w:t>
            </w:r>
          </w:p>
        </w:tc>
        <w:tc>
          <w:tcPr>
            <w:tcW w:w="37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要点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一、绪论</w:t>
            </w:r>
          </w:p>
        </w:tc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基本概念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（1）免疫的定义及免疫系统的组成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（2）免疫防御的基本类型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（3）免疫系统的主要功能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二、抗原</w:t>
            </w:r>
          </w:p>
        </w:tc>
        <w:tc>
          <w:tcPr>
            <w:tcW w:w="21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1.基本概念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（1）抗原及其特性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（2）T细胞抗原表位和B细胞抗原表位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（3）交叉反应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（4）耐受原与变应原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2.抗原的分类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（1）完全抗原和半抗原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（2）胸腺依赖性抗原（TD-Ag）和胸腺非依赖性抗原（TI-Ag）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（3）异嗜性抗原、异种抗原、同种异型抗原、自身抗原和独特型抗原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3.超抗原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（1）概念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（2）种类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（3）与临床疾病的关系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4.佐剂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（1）概念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（2）种类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（3）作用机制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三、免疫器官</w:t>
            </w:r>
          </w:p>
        </w:tc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1.中枢免疫器官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（1）组成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（2）主要功能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2.外周免疫器官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（1）组成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（2）主要功能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bookmarkStart w:id="0" w:name="RANGE!A22"/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四、免疫细胞</w:t>
            </w:r>
            <w:bookmarkEnd w:id="0"/>
          </w:p>
        </w:tc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1.T淋巴细胞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（1）T淋巴细胞的表面标志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（2）TCR复合物的组成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 xml:space="preserve">（3）T淋巴细胞亚群、功能及临床意义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2.B淋巴细胞</w:t>
            </w:r>
          </w:p>
        </w:tc>
        <w:tc>
          <w:tcPr>
            <w:tcW w:w="376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（1）B淋巴细胞的表面标志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 xml:space="preserve">（2）BCR复合物的组成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（3）B淋巴细胞亚群、功能及临床意义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3.自然杀伤（NK）细胞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（1）NK细胞的表面标志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 xml:space="preserve">（2）NK细胞的受体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（3）NK细胞的功能及临床意义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bookmarkStart w:id="1" w:name="RANGE!B31"/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4.抗原提呈细胞</w:t>
            </w:r>
            <w:bookmarkEnd w:id="1"/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bookmarkStart w:id="2" w:name="RANGE!C31"/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（1）抗原提呈细胞的概念</w:t>
            </w:r>
            <w:bookmarkEnd w:id="2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（2）抗原提呈细胞的种类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（3）外源性抗原递呈过程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（4）内源性抗原递呈过程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（5）抗原的交叉提呈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5.其他免疫细胞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（1）单核巨噬细胞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（2）中性粒细胞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 xml:space="preserve">（3）嗜酸性粒细胞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（4）嗜碱性粒细胞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（5）肥大细胞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（6）固有淋巴样细胞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（7）γδT细胞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五、免疫球蛋白</w:t>
            </w:r>
          </w:p>
        </w:tc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1.基本概念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（1）免疫球蛋白/抗体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（2）多克隆与单克隆抗体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2.免疫球蛋白的结构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（1）免疫球蛋白的基本结构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（2）免疫球蛋白的功能区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3.免疫球蛋白的类与型</w:t>
            </w:r>
          </w:p>
        </w:tc>
        <w:tc>
          <w:tcPr>
            <w:tcW w:w="376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（1）免疫球蛋白的类及亚类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（2）免疫球蛋白的型及亚型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4.免疫球蛋白的功能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（1）免疫球蛋白V区的功能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（2）免疫球蛋白C区的功能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5.各类免疫球蛋白的特性和功能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（1）IgG的特性和功能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（2）IgM的特性和功能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（3）IgA的特性和功能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（4）IgE的特性和功能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（5）IgD的特性和功能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6.抗体的应用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（1）抗血清（多克隆抗体）的临床应用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（2）单克隆抗体的临床应用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（3）基因工程抗体与人源化抗体的临床应用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六、补体系统</w:t>
            </w:r>
          </w:p>
        </w:tc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1.概述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（1）补体的概念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（2）补体系统的组成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2.补体系统的激活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（1）经典激活途径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（2）旁路激活途径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（3）凝集素激活途径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3.补体激活的调节</w:t>
            </w: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补体调控分子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4.补体的生物学功能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（1）膜攻击复合物的生物学功能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（2）补体活性片段介导的生物学功能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5.补体与疾病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（1）补体与疾病的发生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（2）补体与疾病诊治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七、细胞因子及受体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1.基本概念</w:t>
            </w: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细胞因子的生物学特性与功能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2.细胞因子的种类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（1）白细胞介素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（2）干扰素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（3）肿瘤坏死因子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（4）集落刺激因子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（5）趋化因子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（6）其他细胞因子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3.细胞因子受体</w:t>
            </w: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基本概念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4.细胞因子的功能</w:t>
            </w: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概念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5.细胞因子与疾病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（1）疾病的发生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（2）疾病的诊断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（3）疾病的治疗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八、白细胞分化抗原和黏附分子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1.白细胞分化抗原</w:t>
            </w: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CD分子的概念及应用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（1）黏附分子的种类与功能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2.黏附分子</w:t>
            </w: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（2）黏附分子缺失与临床疾病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九、主要组织相容性复合体</w:t>
            </w:r>
          </w:p>
        </w:tc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1.基本概念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（1）主要组织相容性抗原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（2）主要组织相容性复合体（MHC）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2.HLA复合体及其编码产物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（1）HLA复合体的结构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（2）HLA分子的分类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（3）HLA基因复合体的遗传特征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3.HLAⅠ类抗原</w:t>
            </w:r>
          </w:p>
        </w:tc>
        <w:tc>
          <w:tcPr>
            <w:tcW w:w="376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（1）结构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（2）分布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（3）主要功能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4.HLAⅡ类抗原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（1）结构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（2）分布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（3）主要功能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5.HLA与临床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（1）HLA的生理学意义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（2）HLA与疾病的相关性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（3）HLA与同种器官移植、输血反应的关系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十、免疫应答</w:t>
            </w:r>
          </w:p>
        </w:tc>
        <w:tc>
          <w:tcPr>
            <w:tcW w:w="214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1.基本概念</w:t>
            </w:r>
          </w:p>
        </w:tc>
        <w:tc>
          <w:tcPr>
            <w:tcW w:w="376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免疫应答的类型及特点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2.固有免疫应答</w:t>
            </w:r>
          </w:p>
        </w:tc>
        <w:tc>
          <w:tcPr>
            <w:tcW w:w="376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（1）固有免疫识别的分子机制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（2）固有免疫应答的过程与效应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（3）固有免疫应答异常与疾病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3.适应性免疫应答概述</w:t>
            </w:r>
          </w:p>
        </w:tc>
        <w:tc>
          <w:tcPr>
            <w:tcW w:w="376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（1）概念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（2）分类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4.B细胞介导的体液免疫应答</w:t>
            </w:r>
          </w:p>
        </w:tc>
        <w:tc>
          <w:tcPr>
            <w:tcW w:w="376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（1）TD抗原诱导的体液免疫应答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（2）TI抗原诱导的体液免疫应答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（3）体液免疫应答的一般规律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5.T细胞介导的细胞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（1）T细胞活化的双识别、双信号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免疫应答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（2）Th1细胞的效应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（3）Th2细胞的效应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（4）Th17细胞的效应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（5）CTL的效应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（6）Treg细胞的效应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十一、黏膜免疫</w:t>
            </w:r>
          </w:p>
        </w:tc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1.概述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（1）基本概念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（2）黏膜免疫系统的组成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2.黏膜免疫的功能及应用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（1）参与食物与肠道菌群免疫耐受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（2）抗感染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（3）参与超敏反应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十二、免疫耐受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1.概述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免疫耐受的概念与分类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2.免疫耐受与临床</w:t>
            </w:r>
          </w:p>
        </w:tc>
        <w:tc>
          <w:tcPr>
            <w:tcW w:w="376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（1）建立免疫耐受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（2）打破免疫耐受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十三、抗感染免疫</w:t>
            </w:r>
          </w:p>
        </w:tc>
        <w:tc>
          <w:tcPr>
            <w:tcW w:w="21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1.概述</w:t>
            </w:r>
          </w:p>
        </w:tc>
        <w:tc>
          <w:tcPr>
            <w:tcW w:w="37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感染免疫基本概念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bookmarkStart w:id="3" w:name="RANGE!B122"/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2.抗感染免疫的效应机制</w:t>
            </w:r>
            <w:bookmarkEnd w:id="3"/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（1）抗感染固有免疫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（2）抗感染适应性免疫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3.病原体的免疫逃逸机制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（1）病原体的免疫逃逸机制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十四、超敏反应</w:t>
            </w:r>
          </w:p>
        </w:tc>
        <w:tc>
          <w:tcPr>
            <w:tcW w:w="21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1.概述</w:t>
            </w:r>
          </w:p>
        </w:tc>
        <w:tc>
          <w:tcPr>
            <w:tcW w:w="376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（1）超敏反应的概念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（2）超敏反应的分型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2.Ⅰ型超敏反应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（1）Ⅰ型超敏反应的特点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（2）Ⅰ型超敏反应的变应原、变应素和效应细胞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（3）Ⅰ型超敏反应的发生机制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（4）临床常见的Ⅰ型超敏反应性疾病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（5）Ⅰ型超敏反应的防治原则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3.Ⅱ型超敏反应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（1）Ⅱ型超敏反应的发生机制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（2）临床常见的Ⅱ型超敏反应性疾病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4.Ⅲ型超敏反应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（1）Ⅲ型超敏反应的发生机制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（2）临床常见的Ⅲ型超敏反应性疾病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5.Ⅳ型超敏反应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（1）Ⅳ型超敏反应的发生机制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（2）临床常见的Ⅳ型超敏反应性疾病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十五、自身免疫和自身免疫性疾病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1.概述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自身抗原、自身免疫与自身免疫病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2.临床常见的自身免疫病</w:t>
            </w:r>
          </w:p>
        </w:tc>
        <w:tc>
          <w:tcPr>
            <w:tcW w:w="376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（1）抗体介导的自身免疫病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（2）T细胞介导的自身免疫病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3.自身免疫性疾病的发生机制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（1）隐蔽抗原的释放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（2）自身抗原的改变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（3）分子模拟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（4）表位扩展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（5）免疫调节异常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（6）遗传易感性改变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4.自身免疫性疾病治疗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（1）常规治疗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（2）免疫与生物治疗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十六、免疫缺陷病</w:t>
            </w:r>
          </w:p>
        </w:tc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1.概述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（1）免疫缺陷病的概念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（2）免疫缺陷病的分类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2.原发性免疫缺陷病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（1）B细胞缺陷相关疾病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（2）T细胞缺陷相关疾病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（3）联合免疫缺陷病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（4）吞噬细胞缺陷相关疾病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（5）补体系统缺陷相关疾病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（1）获得性免疫缺陷综合征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3.获得性免疫缺陷病</w:t>
            </w: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（2）其他获得性免疫缺陷病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十七、肿瘤免疫</w:t>
            </w:r>
          </w:p>
        </w:tc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1.肿瘤抗原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（1）肿瘤抗原的概念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（2）肿瘤抗原的分类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2.机体抗肿瘤免疫的效应机制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（1）抗肿瘤固有免疫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（2）抗肿瘤适应性免疫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3.肿瘤的免疫逃逸机制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（1）下调抗原表达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（2）上调免疫抑制性因子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（3）诱导免疫抑制性细胞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4.肿瘤的免疫防治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（1）肿瘤的免疫预防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（2）肿瘤的免疫治疗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十八、移植免疫</w:t>
            </w:r>
          </w:p>
        </w:tc>
        <w:tc>
          <w:tcPr>
            <w:tcW w:w="21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1.基本概念</w:t>
            </w:r>
          </w:p>
        </w:tc>
        <w:tc>
          <w:tcPr>
            <w:tcW w:w="376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（1）自体移植、同种异基因移植、异种移植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（2）宿主抗移植物反应、移植物抗宿主反应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2.同种移植排斥反应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（1）类型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（2）机制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3.抗移植排斥临床策略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（1）组织配型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（2）免疫抑制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（3）诱导耐受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1.抗原-抗体反应相关检测技术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（1）血凝抑制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（2）免疫荧光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（3）放射免疫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（4）酶免疫（ELISA）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（5）免疫组化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（6）免疫沉淀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（7）免疫印迹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3.免疫细胞的检测技术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（1）流式细胞术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（2）增殖试验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（3）细胞毒试验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（4）细胞凋亡检测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（5）细胞因子的生物活性检测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二十、免疫学防治</w:t>
            </w:r>
          </w:p>
        </w:tc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1.免疫预防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（1）人工主动免疫（预防性疫苗）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（2）人工被动免疫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（3）我国儿童计划免疫常用疫苗及程序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1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2.免疫治疗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（1）基于抗体的治疗策略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（2）细胞免疫治疗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（3）细胞因子治疗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1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（4）免疫增强与抑制策略</w:t>
            </w:r>
          </w:p>
        </w:tc>
      </w:tr>
    </w:tbl>
    <w:p>
      <w:pPr>
        <w:spacing w:line="360" w:lineRule="auto"/>
        <w:rPr>
          <w:rFonts w:ascii="宋体" w:hAnsi="宋体"/>
          <w:sz w:val="24"/>
          <w:szCs w:val="24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  <w:lang w:eastAsia="zh-CN"/>
      </w:rPr>
      <w:t>金英杰免费学习官网链接：</w:t>
    </w:r>
    <w:r>
      <w:rPr>
        <w:rFonts w:hint="eastAsia"/>
        <w:lang w:val="en-US" w:eastAsia="zh-CN"/>
      </w:rPr>
      <w:fldChar w:fldCharType="begin"/>
    </w:r>
    <w:r>
      <w:rPr>
        <w:rFonts w:hint="eastAsia"/>
        <w:lang w:val="en-US" w:eastAsia="zh-CN"/>
      </w:rPr>
      <w:instrText xml:space="preserve"> HYPERLINK "http://www.jinyingjie.com" </w:instrText>
    </w:r>
    <w:r>
      <w:rPr>
        <w:rFonts w:hint="eastAsia"/>
        <w:lang w:val="en-US" w:eastAsia="zh-CN"/>
      </w:rPr>
      <w:fldChar w:fldCharType="separate"/>
    </w:r>
    <w:r>
      <w:rPr>
        <w:rStyle w:val="6"/>
        <w:rFonts w:hint="eastAsia"/>
        <w:lang w:val="en-US" w:eastAsia="zh-CN"/>
      </w:rPr>
      <w:t>www.jinyingjie.com</w:t>
    </w:r>
    <w:r>
      <w:rPr>
        <w:rFonts w:hint="eastAsia"/>
        <w:lang w:val="en-US" w:eastAsia="zh-CN"/>
      </w:rPr>
      <w:fldChar w:fldCharType="end"/>
    </w:r>
    <w:r>
      <w:rPr>
        <w:rFonts w:hint="eastAsia"/>
        <w:lang w:val="en-US" w:eastAsia="zh-CN"/>
      </w:rPr>
      <w:t xml:space="preserve">                         客服热线：</w:t>
    </w:r>
    <w:r>
      <w:rPr>
        <w:rFonts w:ascii="微软雅黑" w:hAnsi="微软雅黑" w:eastAsia="微软雅黑" w:cs="微软雅黑"/>
        <w:i w:val="0"/>
        <w:caps w:val="0"/>
        <w:color w:val="333333"/>
        <w:spacing w:val="0"/>
        <w:sz w:val="16"/>
        <w:szCs w:val="16"/>
        <w:shd w:val="clear" w:fill="FFFFFF"/>
      </w:rPr>
      <w:t>400-606-1615</w:t>
    </w:r>
    <w:bookmarkStart w:id="4" w:name="_GoBack"/>
    <w:bookmarkEnd w:id="4"/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4" w:space="1"/>
      </w:pBdr>
      <w:ind w:left="360" w:hanging="360" w:hangingChars="200"/>
    </w:pPr>
    <w:r>
      <w:rPr>
        <w:sz w:val="18"/>
      </w:rPr>
      <w:pict>
        <v:shape id="PowerPlusWaterMarkObject44944" o:spid="_x0000_s3073" o:spt="136" type="#_x0000_t136" style="position:absolute;left:0pt;height:122.6pt;width:464.65pt;mso-position-horizontal:center;mso-position-horizontal-relative:margin;mso-position-vertical:center;mso-position-vertical-relative:margin;rotation:-2949120f;z-index:-251658240;mso-width-relative:page;mso-height-relative:page;" fillcolor="#C0C0C0" filled="t" stroked="f" coordsize="21600,21600" adj="108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金英杰医学" style="font-family:微软雅黑;font-size:36pt;v-same-letter-heights:f;v-text-align:center;"/>
        </v:shape>
      </w:pict>
    </w:r>
    <w:r>
      <w:rPr>
        <w:rFonts w:hint="eastAsia"/>
        <w:sz w:val="18"/>
        <w:lang w:eastAsia="zh-CN"/>
      </w:rPr>
      <w:t>金英杰医学</w:t>
    </w:r>
    <w:r>
      <w:rPr>
        <w:rFonts w:hint="eastAsia"/>
        <w:sz w:val="18"/>
        <w:lang w:val="en-US" w:eastAsia="zh-CN"/>
      </w:rPr>
      <w:t xml:space="preserve">                                                         </w:t>
    </w:r>
    <w:r>
      <w:drawing>
        <wp:inline distT="0" distB="0" distL="0" distR="0">
          <wp:extent cx="1025525" cy="214630"/>
          <wp:effectExtent l="0" t="0" r="10795" b="13970"/>
          <wp:docPr id="1" name="图片 1" descr="C:\Users\ZHAN\Desktop\logo png格式\带注册商标LOGO-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C:\Users\ZHAN\Desktop\logo png格式\带注册商标LOGO-0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26176" cy="2147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C0775"/>
    <w:rsid w:val="00152E2F"/>
    <w:rsid w:val="001C0775"/>
    <w:rsid w:val="003A6504"/>
    <w:rsid w:val="00432708"/>
    <w:rsid w:val="0044527B"/>
    <w:rsid w:val="005B4F8F"/>
    <w:rsid w:val="006A59F3"/>
    <w:rsid w:val="006F4870"/>
    <w:rsid w:val="0072159F"/>
    <w:rsid w:val="008156DD"/>
    <w:rsid w:val="008D7066"/>
    <w:rsid w:val="008F1300"/>
    <w:rsid w:val="00A03534"/>
    <w:rsid w:val="00AD2FD7"/>
    <w:rsid w:val="00C533B1"/>
    <w:rsid w:val="00D12EBF"/>
    <w:rsid w:val="00DB1B2B"/>
    <w:rsid w:val="00EF7B83"/>
    <w:rsid w:val="09A4697A"/>
    <w:rsid w:val="158C3DDE"/>
    <w:rsid w:val="28F93B44"/>
    <w:rsid w:val="2FE1366F"/>
    <w:rsid w:val="3BE829A0"/>
    <w:rsid w:val="41CC0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Hyperlink"/>
    <w:semiHidden/>
    <w:unhideWhenUsed/>
    <w:uiPriority w:val="99"/>
    <w:rPr>
      <w:color w:val="0000FF"/>
      <w:u w:val="single"/>
    </w:rPr>
  </w:style>
  <w:style w:type="character" w:customStyle="1" w:styleId="8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5"/>
    <w:link w:val="3"/>
    <w:semiHidden/>
    <w:uiPriority w:val="99"/>
    <w:rPr>
      <w:sz w:val="18"/>
      <w:szCs w:val="18"/>
    </w:rPr>
  </w:style>
  <w:style w:type="character" w:customStyle="1" w:styleId="10">
    <w:name w:val="批注框文本 Char"/>
    <w:basedOn w:val="5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559</Words>
  <Characters>3189</Characters>
  <Lines>26</Lines>
  <Paragraphs>7</Paragraphs>
  <TotalTime>0</TotalTime>
  <ScaleCrop>false</ScaleCrop>
  <LinksUpToDate>false</LinksUpToDate>
  <CharactersWithSpaces>3741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2017-03-21T02:30:00Z</dcterms:created>
  <dc:creator>DELL</dc:creator>
  <cp:lastModifiedBy>Administrator</cp:lastModifiedBy>
  <dcterms:modified xsi:type="dcterms:W3CDTF">2018-10-11T03:12:50Z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