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center"/>
        <w:rPr>
          <w:rFonts w:ascii="微软雅黑" w:hAnsi="微软雅黑" w:eastAsia="微软雅黑" w:cs="微软雅黑"/>
          <w:b/>
          <w:kern w:val="0"/>
          <w:sz w:val="52"/>
          <w:szCs w:val="52"/>
        </w:rPr>
      </w:pPr>
      <w:r>
        <w:drawing>
          <wp:inline distT="0" distB="0" distL="114300" distR="114300">
            <wp:extent cx="5166360" cy="8103235"/>
            <wp:effectExtent l="0" t="0" r="5715" b="2540"/>
            <wp:docPr id="2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810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</w:pPr>
    </w:p>
    <w:p>
      <w:pPr>
        <w:jc w:val="center"/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</w:pPr>
    </w:p>
    <w:p>
      <w:pPr>
        <w:jc w:val="center"/>
        <w:rPr>
          <w:rFonts w:ascii="微软雅黑" w:hAnsi="微软雅黑" w:eastAsia="微软雅黑" w:cs="微软雅黑"/>
          <w:b/>
          <w:kern w:val="0"/>
          <w:sz w:val="52"/>
          <w:szCs w:val="52"/>
        </w:rPr>
      </w:pPr>
      <w:r>
        <w:rPr>
          <w:rFonts w:hint="eastAsia" w:ascii="微软雅黑" w:hAnsi="微软雅黑" w:eastAsia="微软雅黑" w:cs="微软雅黑"/>
          <w:b/>
          <w:kern w:val="0"/>
          <w:sz w:val="72"/>
          <w:szCs w:val="72"/>
        </w:rPr>
        <w:t>金英杰直播学院</w:t>
      </w:r>
      <w:r>
        <w:rPr>
          <w:rFonts w:hint="eastAsia" w:ascii="微软雅黑" w:hAnsi="微软雅黑" w:eastAsia="微软雅黑" w:cs="微软雅黑"/>
          <w:b/>
          <w:kern w:val="0"/>
          <w:sz w:val="52"/>
          <w:szCs w:val="52"/>
        </w:rPr>
        <w:br w:type="textWrapping"/>
      </w:r>
      <w:r>
        <w:rPr>
          <w:rFonts w:hint="eastAsia" w:ascii="微软雅黑" w:hAnsi="微软雅黑" w:eastAsia="微软雅黑" w:cs="微软雅黑"/>
          <w:b/>
          <w:kern w:val="0"/>
          <w:sz w:val="52"/>
          <w:szCs w:val="52"/>
        </w:rPr>
        <w:t>中西医专业</w:t>
      </w:r>
    </w:p>
    <w:p>
      <w:pPr>
        <w:spacing w:line="360" w:lineRule="auto"/>
        <w:jc w:val="center"/>
        <w:rPr>
          <w:rFonts w:hint="default" w:ascii="微软雅黑" w:hAnsi="微软雅黑" w:eastAsia="微软雅黑" w:cs="微软雅黑"/>
          <w:b/>
          <w:bCs/>
          <w:sz w:val="48"/>
          <w:szCs w:val="48"/>
          <w:lang w:val="en-US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  <w:lang w:val="en-US" w:eastAsia="zh-CN"/>
        </w:rPr>
        <w:t>药理学4</w:t>
      </w:r>
    </w:p>
    <w:p>
      <w:pPr>
        <w:spacing w:line="360" w:lineRule="auto"/>
        <w:jc w:val="center"/>
        <w:rPr>
          <w:rFonts w:ascii="微软雅黑" w:hAnsi="微软雅黑" w:eastAsia="微软雅黑" w:cs="微软雅黑"/>
          <w:b/>
          <w:bCs/>
          <w:sz w:val="48"/>
          <w:szCs w:val="48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直播笔记</w:t>
      </w:r>
    </w:p>
    <w:p>
      <w:pPr>
        <w:spacing w:line="360" w:lineRule="auto"/>
        <w:jc w:val="center"/>
        <w:rPr>
          <w:rFonts w:ascii="微软雅黑" w:hAnsi="微软雅黑" w:eastAsia="微软雅黑" w:cs="微软雅黑"/>
          <w:b/>
          <w:bCs/>
          <w:sz w:val="48"/>
          <w:szCs w:val="48"/>
        </w:rPr>
      </w:pPr>
      <w:r>
        <w:rPr>
          <w:rFonts w:hint="eastAsia" w:ascii="微软雅黑" w:hAnsi="微软雅黑" w:eastAsia="微软雅黑" w:cs="微软雅黑"/>
          <w:b/>
          <w:bCs/>
          <w:sz w:val="48"/>
          <w:szCs w:val="48"/>
        </w:rPr>
        <w:t>整理教辅:冬虫</w:t>
      </w: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2</w:t>
      </w:r>
      <w:r>
        <w:rPr>
          <w:rFonts w:ascii="微软雅黑" w:hAnsi="微软雅黑" w:eastAsia="微软雅黑" w:cs="Times New Roman"/>
          <w:b/>
          <w:kern w:val="0"/>
          <w:sz w:val="44"/>
          <w:szCs w:val="44"/>
        </w:rPr>
        <w:t>021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年</w:t>
      </w:r>
      <w:r>
        <w:rPr>
          <w:rFonts w:ascii="微软雅黑" w:hAnsi="微软雅黑" w:eastAsia="微软雅黑" w:cs="Times New Roman"/>
          <w:b/>
          <w:kern w:val="0"/>
          <w:sz w:val="44"/>
          <w:szCs w:val="44"/>
        </w:rPr>
        <w:t>1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月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  <w:lang w:val="en-US" w:eastAsia="zh-CN"/>
        </w:rPr>
        <w:t>30</w:t>
      </w:r>
      <w:r>
        <w:rPr>
          <w:rFonts w:hint="eastAsia" w:ascii="微软雅黑" w:hAnsi="微软雅黑" w:eastAsia="微软雅黑" w:cs="Times New Roman"/>
          <w:b/>
          <w:kern w:val="0"/>
          <w:sz w:val="44"/>
          <w:szCs w:val="44"/>
        </w:rPr>
        <w:t>日</w:t>
      </w: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center"/>
        <w:rPr>
          <w:rFonts w:ascii="微软雅黑" w:hAnsi="微软雅黑" w:eastAsia="微软雅黑" w:cs="Times New Roman"/>
          <w:b/>
          <w:kern w:val="0"/>
          <w:sz w:val="44"/>
          <w:szCs w:val="44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jc w:val="left"/>
        <w:rPr>
          <w:rFonts w:ascii="微软雅黑" w:hAnsi="微软雅黑" w:eastAsia="微软雅黑" w:cs="Times New Roman"/>
          <w:bCs/>
          <w:kern w:val="0"/>
          <w:szCs w:val="21"/>
        </w:rPr>
      </w:pPr>
    </w:p>
    <w:p>
      <w:pPr>
        <w:widowControl/>
        <w:jc w:val="both"/>
      </w:pPr>
    </w:p>
    <w:p>
      <w:pPr>
        <w:widowControl/>
        <w:jc w:val="both"/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一、</w:t>
      </w:r>
      <w:r>
        <w:rPr>
          <w:rFonts w:hint="eastAsia" w:ascii="微软雅黑" w:hAnsi="微软雅黑" w:eastAsia="微软雅黑" w:cs="微软雅黑"/>
          <w:sz w:val="28"/>
          <w:szCs w:val="28"/>
        </w:rPr>
        <w:t>糖皮质激素</w:t>
      </w:r>
      <w:bookmarkStart w:id="0" w:name="_GoBack"/>
      <w:bookmarkEnd w:id="0"/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2507615"/>
            <wp:effectExtent l="0" t="0" r="635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1911985"/>
            <wp:effectExtent l="0" t="0" r="635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抗炎抗毒抗免疫，能治休克能退烧;血液五多淋酸少。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升糖移脂分蛋白，钾钙降低钠增高。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938145"/>
            <wp:effectExtent l="0" t="0" r="8890" b="5080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2207895"/>
            <wp:effectExtent l="0" t="0" r="6985" b="190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诱发感染和三高，神经兴奋癫痫到;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骨松脸大胃溃疡，伤口不长麻烦了。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2807335"/>
            <wp:effectExtent l="0" t="0" r="4445" b="254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0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821940"/>
            <wp:effectExtent l="0" t="0" r="8890" b="6985"/>
            <wp:docPr id="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二、抗甲状腺药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1167130"/>
            <wp:effectExtent l="0" t="0" r="4445" b="444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对已合成的甲状腺激素无影响，只有等激素消耗完后才有疗效，因此显效慢。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西硫氧嘧啶还能抑制T4转变为T3，所以显效比其他药物快。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甲亢术前准备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收益</w:t>
      </w:r>
      <w:r>
        <w:rPr>
          <w:rFonts w:hint="eastAsia" w:ascii="微软雅黑" w:hAnsi="微软雅黑" w:eastAsia="微软雅黑" w:cs="微软雅黑"/>
          <w:sz w:val="28"/>
          <w:szCs w:val="28"/>
        </w:rPr>
        <w:t>:术前给予硫脲类，使甲状腺功能恢复或接近正常，可减少麻醉和术后并发症，防止术后发生甲状腺危象。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弊端</w:t>
      </w:r>
      <w:r>
        <w:rPr>
          <w:rFonts w:hint="eastAsia" w:ascii="微软雅黑" w:hAnsi="微软雅黑" w:eastAsia="微软雅黑" w:cs="微软雅黑"/>
          <w:sz w:val="28"/>
          <w:szCs w:val="28"/>
        </w:rPr>
        <w:t>:可导致甲状腺肥大，不利于手术;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对抗措施</w:t>
      </w:r>
      <w:r>
        <w:rPr>
          <w:rFonts w:hint="eastAsia" w:ascii="微软雅黑" w:hAnsi="微软雅黑" w:eastAsia="微软雅黑" w:cs="微软雅黑"/>
          <w:sz w:val="28"/>
          <w:szCs w:val="28"/>
        </w:rPr>
        <w:t>:术前2周，同时合用大剂量碘，可使腺体缩小，变硬，减少手术中出血。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治甲亢选硫脲类;过氧化酶受抑制，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生效缓慢疗程久;药物减少粒细胞;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甲亢危象手术前，先用硫脲再加碘。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三、降血糖药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糖尿病是由于胰岛素绝对或相对不足所3 |起的以高血糖为主要表现的代谢紊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乱性疾病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</w:t>
      </w:r>
      <w:r>
        <w:rPr>
          <w:rFonts w:hint="eastAsia" w:ascii="微软雅黑" w:hAnsi="微软雅黑" w:eastAsia="微软雅黑" w:cs="微软雅黑"/>
          <w:sz w:val="28"/>
          <w:szCs w:val="28"/>
        </w:rPr>
        <w:t>[三多一少:吃多喝多尿多，体重减少]。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临床上将糖尿病分为四型: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                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(注射胰岛素)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1、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1型</w:t>
      </w:r>
      <w:r>
        <w:rPr>
          <w:rFonts w:hint="eastAsia" w:ascii="微软雅黑" w:hAnsi="微软雅黑" w:eastAsia="微软雅黑" w:cs="微软雅黑"/>
          <w:sz w:val="28"/>
          <w:szCs w:val="28"/>
        </w:rPr>
        <w:t>糖尿病:与胰岛细胞发生自身免疫性损伤有关，胰岛素绝对缺乏。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、2型</w:t>
      </w:r>
      <w:r>
        <w:rPr>
          <w:rFonts w:hint="eastAsia" w:ascii="微软雅黑" w:hAnsi="微软雅黑" w:eastAsia="微软雅黑" w:cs="微软雅黑"/>
          <w:sz w:val="28"/>
          <w:szCs w:val="28"/>
        </w:rPr>
        <w:t>糖尿病:患者有胰岛素抵抗或胰岛素相对分泌不足。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(口服降糖药)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3、特殊类型糖尿病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4、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妊娠</w:t>
      </w:r>
      <w:r>
        <w:rPr>
          <w:rFonts w:hint="eastAsia" w:ascii="微软雅黑" w:hAnsi="微软雅黑" w:eastAsia="微软雅黑" w:cs="微软雅黑"/>
          <w:sz w:val="28"/>
          <w:szCs w:val="28"/>
        </w:rPr>
        <w:t>糖尿病(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注射胰岛素)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糖尿病的治疗多采用综合措施，包括饮食控制、体育锻炼和药物治疗。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糖尿病的治疗原则:饮食+运动→口服降糖药→胰岛素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0500" cy="2287270"/>
            <wp:effectExtent l="0" t="0" r="6350" b="8255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2839720"/>
            <wp:effectExtent l="0" t="0" r="3175" b="8255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3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2152650"/>
            <wp:effectExtent l="0" t="0" r="7620" b="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磺酰脲类格列XX-刺激胰岛细胞胰岛功能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双胍类二甲双胍-降糖降脂降体重-不依赖胰岛功能肥胖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Q-葡萄糖苷酶抑制药-阿卡波糖_抑制a葡萄糖 苷酶餐后血糖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胰岛素增敏药-罗格列酮增加胰岛素敏感性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numPr>
          <w:ilvl w:val="0"/>
          <w:numId w:val="1"/>
        </w:numPr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化学治疗药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病原体分类: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细菌、病毒、真菌、 结核菌、肿瘤细胞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numPr>
          <w:ilvl w:val="0"/>
          <w:numId w:val="2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合成抗菌药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lang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(一)氟喹诺酮类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沙星类★★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（诺氟沙星(氟哌酸)氧氟沙星、环丙沙星、左氧氟沙星、加替沙星、莫西沙星）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 :抗菌作用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(1)广谱杀菌药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(2)抗菌谱: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①革兰阴性菌(铜绿假单胞菌-环丙沙星作用最强)、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②革兰阳性球菌(左氧氟沙星最强)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③衣原体、支原体、军团菌、结核菌</w:t>
      </w:r>
    </w:p>
    <w:p>
      <w:pPr>
        <w:widowControl/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④厌氧菌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阳盛阴不衰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霸气抗厌氧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(3)抗菌机制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抑制细菌的DNA回旋酶(G)</w:t>
      </w:r>
    </w:p>
    <w:p>
      <w:pPr>
        <w:widowControl/>
        <w:numPr>
          <w:numId w:val="0"/>
        </w:numPr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拓扑异构酶IV (G+ )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(一)氟喹诺酮类★★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( 1 )呼吸系统感染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左氧氟沙星</w:t>
      </w:r>
      <w:r>
        <w:rPr>
          <w:rFonts w:hint="eastAsia" w:ascii="微软雅黑" w:hAnsi="微软雅黑" w:eastAsia="微软雅黑" w:cs="微软雅黑"/>
          <w:sz w:val="28"/>
          <w:szCs w:val="28"/>
        </w:rPr>
        <w:t>、莫西沙星与万古霉素合用，首选用于治疗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青霉素高度耐药的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肺炎链球菌感染。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➢氟喹诺酮类(除诺氟沙星外)可代替大环内酯类用于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支原体肺炎、衣原体肺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炎、</w:t>
      </w:r>
      <w:r>
        <w:rPr>
          <w:rFonts w:hint="eastAsia" w:ascii="微软雅黑" w:hAnsi="微软雅黑" w:eastAsia="微软雅黑" w:cs="微软雅黑"/>
          <w:sz w:val="28"/>
          <w:szCs w:val="28"/>
        </w:rPr>
        <w:t>嗜肺军团菌引|起的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军团病</w:t>
      </w:r>
      <w:r>
        <w:rPr>
          <w:rFonts w:hint="eastAsia" w:ascii="微软雅黑" w:hAnsi="微软雅黑" w:eastAsia="微软雅黑" w:cs="微软雅黑"/>
          <w:sz w:val="28"/>
          <w:szCs w:val="28"/>
        </w:rPr>
        <w:t>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( 2 )泌尿生殖道感染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环丙沙星</w:t>
      </w:r>
      <w:r>
        <w:rPr>
          <w:rFonts w:hint="eastAsia" w:ascii="微软雅黑" w:hAnsi="微软雅黑" w:eastAsia="微软雅黑" w:cs="微软雅黑"/>
          <w:sz w:val="28"/>
          <w:szCs w:val="28"/>
        </w:rPr>
        <w:t>、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氧氟沙星</w:t>
      </w:r>
      <w:r>
        <w:rPr>
          <w:rFonts w:hint="eastAsia" w:ascii="微软雅黑" w:hAnsi="微软雅黑" w:eastAsia="微软雅黑" w:cs="微软雅黑"/>
          <w:sz w:val="28"/>
          <w:szCs w:val="28"/>
        </w:rPr>
        <w:t>与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β内酰胺类</w:t>
      </w:r>
      <w:r>
        <w:rPr>
          <w:rFonts w:hint="eastAsia" w:ascii="微软雅黑" w:hAnsi="微软雅黑" w:eastAsia="微软雅黑" w:cs="微软雅黑"/>
          <w:sz w:val="28"/>
          <w:szCs w:val="28"/>
        </w:rPr>
        <w:t>同为首选药。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环丙沙星-铜绿假单胞菌</w:t>
      </w:r>
      <w:r>
        <w:rPr>
          <w:rFonts w:hint="eastAsia" w:ascii="微软雅黑" w:hAnsi="微软雅黑" w:eastAsia="微软雅黑" w:cs="微软雅黑"/>
          <w:sz w:val="28"/>
          <w:szCs w:val="28"/>
        </w:rPr>
        <w:t>性尿道炎首选药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(3 )肠道感染与伤寒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➢治疗志贺菌引起的急、慢性菌痢和中毒性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菌痢-首选药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伤寒、副伤寒</w:t>
      </w:r>
      <w:r>
        <w:rPr>
          <w:rFonts w:hint="eastAsia" w:ascii="微软雅黑" w:hAnsi="微软雅黑" w:eastAsia="微软雅黑" w:cs="微软雅黑"/>
          <w:sz w:val="28"/>
          <w:szCs w:val="28"/>
        </w:rPr>
        <w:t>-氟喹诺酮或头孢曲松-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首选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(4)其他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脑膜炎奈瑟菌</w:t>
      </w:r>
      <w:r>
        <w:rPr>
          <w:rFonts w:hint="eastAsia" w:ascii="微软雅黑" w:hAnsi="微软雅黑" w:eastAsia="微软雅黑" w:cs="微软雅黑"/>
          <w:sz w:val="28"/>
          <w:szCs w:val="28"/>
        </w:rPr>
        <w:t>-鼻咽部带菌者的根除治疗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➢对其他抗生素无效的儿童重症感染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3.不良反应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[杀光心软]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(1)胃肠道反应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胃部不适、恶心、腹痛、腹泻等症状，一般不严重，患者可耐受。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( 2 )中枢神经系统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轻者表现失眠、头香、头痛，重者可出现精神异常、抽搐、惊厥等。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(3 )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光敏反应(光毒性)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表现为光照部位皮肤出现瘙痒性红斑，重者出现皮肤溃烂、脱落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( 4 )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心脏毒性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罕见，但后果严重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(5 )其他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软骨损害</w:t>
      </w:r>
      <w:r>
        <w:rPr>
          <w:rFonts w:hint="eastAsia" w:ascii="微软雅黑" w:hAnsi="微软雅黑" w:eastAsia="微软雅黑" w:cs="微软雅黑"/>
          <w:sz w:val="28"/>
          <w:szCs w:val="28"/>
        </w:rPr>
        <w:t>(孕妇、哺乳期妇女、儿童禁用)、跟腱炎、肝毒性、替马沙星综合征、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过敏等反应。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2040890"/>
            <wp:effectExtent l="0" t="0" r="8255" b="6985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4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阳盛阴暗抗厌氧，泌尿呼吸和肠道，杀光心软DNA。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(二)磺胺类药物的特点、甲氧苄啶的抗菌增效作用、复方制剂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2004060"/>
            <wp:effectExtent l="0" t="0" r="6985" b="571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复方新诺明=复方甲嗯唑SMZ+TMP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(三)硝咪唑类的作用、应用、不良反应，硝基呋喃类的应用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1520190"/>
            <wp:effectExtent l="0" t="0" r="5080" b="381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numPr>
          <w:ilvl w:val="0"/>
          <w:numId w:val="2"/>
        </w:numPr>
        <w:ind w:left="0" w:leftChars="0" w:firstLine="0" w:firstLineChars="0"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抗生素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(一)青霉素类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1.青霉素G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(1)抗菌作用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➢青霉素G水溶液不稳定，应临用前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>现用现配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影响粘肽转肽酶，从而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>抑制细菌细胞壁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的合成，人没有细胞壁，所以青霉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素类对人类细胞无效，对人类无明显毒性。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➢繁殖期杀菌药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040" cy="2832735"/>
            <wp:effectExtent l="0" t="0" r="3810" b="5715"/>
            <wp:docPr id="5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(3)青霉素G的不良反应: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①过敏反应(变态反应) -最常见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最严重的是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过敏性休克</w:t>
      </w:r>
      <w:r>
        <w:rPr>
          <w:rFonts w:hint="eastAsia" w:ascii="微软雅黑" w:hAnsi="微软雅黑" w:eastAsia="微软雅黑" w:cs="微软雅黑"/>
          <w:sz w:val="28"/>
          <w:szCs w:val="28"/>
        </w:rPr>
        <w:t>-可致死-注射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肾上腺素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②赫氏反应-梅毒或钩端螺旋体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③水电解质紊乱-高血钾、高血钠症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④局部刺激:如注射部位疼痛、硬结较常发生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⑤青霉素脑病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窄谱杀菌青霉素，竞争菌体转肽酶;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黏肽合成受干扰，阳性细菌杀灭掉;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过敏反应危险大，一问二试三观察。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(4)过敏性休克的防治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一问二试三观察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  <w:lang w:val="en-US" w:eastAsia="zh-CN"/>
        </w:rPr>
        <w:t xml:space="preserve"> 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①掌握适应证，避免局部用药。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②详细询问过敏史、用药史。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③注射前及更换批号时应作皮试。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④注射时避免患者过分饥饿，注射后应观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察半小时。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⑤做好急救准备，备好肾上腺素、氢化可的松等药物和注射器材，一旦发生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休克，立即皮下或肌内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注射肾上腺素0.5-1.0 mg,</w:t>
      </w:r>
      <w:r>
        <w:rPr>
          <w:rFonts w:hint="eastAsia" w:ascii="微软雅黑" w:hAnsi="微软雅黑" w:eastAsia="微软雅黑" w:cs="微软雅黑"/>
          <w:sz w:val="28"/>
          <w:szCs w:val="28"/>
        </w:rPr>
        <w:t>严重者静脉注射或心腔内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注射，必要时可加用糖皮质激素和抗组胺药。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青霉素G的优缺点: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优点:抗菌作用强、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基本无毒;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缺点:不耐酸、不耐酶、抗菌谱窄、易弓|起过敏反应</w:t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青霉素G的优缺点: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优点:抗菌作用强、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基本无毒;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缺点:不耐酸、不耐酶、抗菌谱窄、易弓|起过敏反应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>结构改造——半合成青霉素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2.常用半合成青霉素抗菌作用、应用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1485265"/>
            <wp:effectExtent l="0" t="0" r="5080" b="635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(二)头孢菌素类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797050"/>
            <wp:effectExtent l="0" t="0" r="8255" b="317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2966085"/>
            <wp:effectExtent l="0" t="0" r="5080" b="5715"/>
            <wp:docPr id="9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头孢类不良反应: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①过敏反应(与青霉素存在部分交叉过敏)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肾脏毒性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第一代大剂量可出现肾近曲小管坏死，第二代肾脏毒性降低，第三代更低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第四代对肾脏基本无毒。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③神经系统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④血液系统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 xml:space="preserve">⑤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二重感染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➢双硫仑样反应(头孢就酒，说走就走)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(三)大环内酯类的抗菌作用、应用、不良反应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大环内酯类分类: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14元:红霉素、克拉霉素、罗红霉素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15元:阿奇霉素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16元:麦迪霉素、螺旋霉素、交沙霉素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红霉素性质: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➢天然大环内酯类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➢不耐酸，口服多用肠溶片或酯化物(依托红霉素、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琥乙红霉素肝损害发生率高)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(三)大环内酯类的抗菌作用、应用、不良反应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8595" cy="1949450"/>
            <wp:effectExtent l="0" t="0" r="8255" b="317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[抗菌谱]大环内酯类与青霉素类相比，抗菌谱相似而略广，为抑菌药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相似: G球菌、G杆菌、G+杆菌、螺旋体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增加:支原体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衣原体、军团菌、弯曲菌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(四)林可霉素类的抗菌作用、应用、不良反应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4310" cy="1056640"/>
            <wp:effectExtent l="0" t="0" r="2540" b="635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G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</w:t>
      </w:r>
      <w:r>
        <w:rPr>
          <w:rFonts w:hint="eastAsia" w:ascii="微软雅黑" w:hAnsi="微软雅黑" w:eastAsia="微软雅黑" w:cs="微软雅黑"/>
          <w:sz w:val="28"/>
          <w:szCs w:val="28"/>
        </w:rPr>
        <w:t>需氧菌无效</w:t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(五)氨基糖苷类抗菌作用、应用、不良反应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135" cy="1744345"/>
            <wp:effectExtent l="0" t="0" r="5715" b="8255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氨基甙类杀菌剂，抑制阴杆蛋白质;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 xml:space="preserve">专治鼠疫和兔热，链卡还治结核病; 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耳毒肾毒神经毒,过敏仅次青霉素。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(六)四环素、氯霉素抗菌作用特点及不良反应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1445895"/>
            <wp:effectExtent l="0" t="0" r="5080" b="1905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四环素，治四体，一支萝莉最好记;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普通细菌不能用，霍乱布鲁肉芽肿。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胃肠反应肝肾伤，二重感染牙齿黄，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  <w:highlight w:val="yellow"/>
        </w:rPr>
      </w:pPr>
      <w:r>
        <w:rPr>
          <w:rFonts w:hint="eastAsia" w:ascii="微软雅黑" w:hAnsi="微软雅黑" w:eastAsia="微软雅黑" w:cs="微软雅黑"/>
          <w:sz w:val="28"/>
          <w:szCs w:val="28"/>
          <w:highlight w:val="yellow"/>
        </w:rPr>
        <w:t>头晕眼花光过敏，孕妇儿童徒悲伤。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(七)氯霉素抗菌作用特点及不良反应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865" cy="1123950"/>
            <wp:effectExtent l="0" t="0" r="6985" b="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绿骨灰，两个屏障，正副伤寒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三、抗真菌药与抗病毒药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(一)常用抗真菌药物作用特点、应用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2633980"/>
            <wp:effectExtent l="0" t="0" r="5080" b="444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(二)抗病毒药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1.抗病毒药物的分类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1785620"/>
            <wp:effectExtent l="0" t="0" r="5080" b="508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(二)抗病毒药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2.阿昔洛韦、利巴韦林的作用、应用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1770" cy="1626870"/>
            <wp:effectExtent l="0" t="0" r="5080" b="1905"/>
            <wp:docPr id="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四、抗生素的耐药性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耐药性(抗药性) :是指细菌与抗生素反复接触后对药物的敏感</w:t>
      </w:r>
    </w:p>
    <w:p>
      <w:pPr>
        <w:widowControl/>
        <w:jc w:val="left"/>
        <w:rPr>
          <w:rFonts w:hint="eastAsia" w:ascii="微软雅黑" w:hAnsi="微软雅黑" w:eastAsia="微软雅黑" w:cs="微软雅黑"/>
          <w:color w:val="FF0000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性降低甚至消失。</w:t>
      </w:r>
      <w:r>
        <w:rPr>
          <w:rFonts w:hint="eastAsia" w:ascii="微软雅黑" w:hAnsi="微软雅黑" w:eastAsia="微软雅黑" w:cs="微软雅黑"/>
          <w:sz w:val="28"/>
          <w:szCs w:val="28"/>
          <w:lang w:val="en-US" w:eastAsia="zh-CN"/>
        </w:rPr>
        <w:t xml:space="preserve">                        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无药可用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1.抗菌药耐药性产生的原因: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①产生灭活酶(什么什么的酶就是把什么干掉的物质)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②靶位的修饰和变化( 靶位抗菌药作用的环节或部位)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③降低外膜的通透性(细胞膜)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④加强主动流出系统(细菌主动将药物泵出细菌体外)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2抗菌药的合理应用: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①可用一种抗生素控制的感染绝不使用多种抗菌药联合。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②窄谱抗菌药可控制的感染不用广谱抗生素。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③严格控制抗生素预防应用、局部使用的适应证，避免滥用。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④医院内应对耐药菌感染的患者采取相应的消毒隔离措施，防止细菌的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院内交叉感染。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⑤对抗生素要加强管理，使用或购买抗生素必须凭医生处方。</w:t>
      </w:r>
    </w:p>
    <w:p>
      <w:pPr>
        <w:widowControl/>
        <w:jc w:val="both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五、抗结核病药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(一)抗结核病药物的分类及常用药物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1376045"/>
            <wp:effectExtent l="0" t="0" r="4445" b="5080"/>
            <wp:docPr id="2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(二)抗结核病药作用、应用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2324735"/>
            <wp:effectExtent l="0" t="0" r="4445" b="8890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(三)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抗结核病药的合理应用</w:t>
      </w:r>
      <w:r>
        <w:rPr>
          <w:rFonts w:hint="eastAsia" w:ascii="微软雅黑" w:hAnsi="微软雅黑" w:eastAsia="微软雅黑" w:cs="微软雅黑"/>
          <w:sz w:val="28"/>
          <w:szCs w:val="28"/>
          <w:lang w:eastAsia="zh-CN"/>
        </w:rPr>
        <w:t>——</w:t>
      </w:r>
      <w:r>
        <w:rPr>
          <w:rFonts w:hint="eastAsia" w:ascii="微软雅黑" w:hAnsi="微软雅黑" w:eastAsia="微软雅黑" w:cs="微软雅黑"/>
          <w:sz w:val="28"/>
          <w:szCs w:val="28"/>
        </w:rPr>
        <w:t>早期、规律、联合、适量、全程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1.早期用药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2.联合用药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联合两种或两种以上药物以提高疗效、降低毒性、延缓耐药性。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3.适宜剂量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药物用量不足，达不到治疗目的，且容易诱发细菌产生耐药性。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剂量过大，不良反应多而严重，而使治疗难以继续。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4.坚持全疗程规律用药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不能时用时停或随意变换剂量。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在强化治疗阶段联合应用作用强的药物，病情好转后，再继续使用两种抗结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核药巩固治疗，减少复发。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9230" cy="3491230"/>
            <wp:effectExtent l="0" t="0" r="7620" b="4445"/>
            <wp:docPr id="10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3032125"/>
            <wp:effectExtent l="0" t="0" r="3175" b="6350"/>
            <wp:docPr id="10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3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3675" cy="2588260"/>
            <wp:effectExtent l="0" t="0" r="3175" b="2540"/>
            <wp:docPr id="2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2519045"/>
            <wp:effectExtent l="0" t="0" r="4445" b="508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6055" cy="3086100"/>
            <wp:effectExtent l="0" t="0" r="1270" b="0"/>
            <wp:docPr id="11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72405" cy="3246120"/>
            <wp:effectExtent l="0" t="0" r="4445" b="1905"/>
            <wp:docPr id="11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5267960" cy="2794635"/>
            <wp:effectExtent l="0" t="0" r="8890" b="5715"/>
            <wp:docPr id="11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五、抗恶性肿瘤药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①细胞周期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非特异性</w:t>
      </w:r>
      <w:r>
        <w:rPr>
          <w:rFonts w:hint="eastAsia" w:ascii="微软雅黑" w:hAnsi="微软雅黑" w:eastAsia="微软雅黑" w:cs="微软雅黑"/>
          <w:sz w:val="28"/>
          <w:szCs w:val="28"/>
        </w:rPr>
        <w:t>药物:主要杀灭增殖期细胞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➢如烷化剂、抗肿瘤抗生素等。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➢此类药物对恶性肿瘤细胞的作用较强，能迅速杀灭肿瘤细胞。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②细胞周期特异性药物:仅</w:t>
      </w:r>
      <w:r>
        <w:rPr>
          <w:rFonts w:hint="eastAsia" w:ascii="微软雅黑" w:hAnsi="微软雅黑" w:eastAsia="微软雅黑" w:cs="微软雅黑"/>
          <w:color w:val="FF0000"/>
          <w:sz w:val="28"/>
          <w:szCs w:val="28"/>
        </w:rPr>
        <w:t>杀灭某-增殖周期</w:t>
      </w:r>
      <w:r>
        <w:rPr>
          <w:rFonts w:hint="eastAsia" w:ascii="微软雅黑" w:hAnsi="微软雅黑" w:eastAsia="微软雅黑" w:cs="微软雅黑"/>
          <w:sz w:val="28"/>
          <w:szCs w:val="28"/>
        </w:rPr>
        <w:t>细胞，对静止期细胞不敏感的药物。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如抗代谢药、长春碱类。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此类药物的抗肿瘤作用一般较弱，需应用一段时间才能发挥杀伤作用。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center"/>
        <w:rPr>
          <w:rFonts w:hint="eastAsia" w:ascii="微软雅黑" w:hAnsi="微软雅黑" w:eastAsia="微软雅黑" w:cs="微软雅黑"/>
          <w:sz w:val="28"/>
          <w:szCs w:val="28"/>
        </w:rPr>
      </w:pP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抗恶性肿瘤药物的主要不良反应★★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drawing>
          <wp:inline distT="0" distB="0" distL="114300" distR="114300">
            <wp:extent cx="4752975" cy="2395855"/>
            <wp:effectExtent l="0" t="0" r="0" b="4445"/>
            <wp:docPr id="2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阿心来肺环肝膀</w:t>
      </w:r>
    </w:p>
    <w:p>
      <w:pPr>
        <w:widowControl/>
        <w:jc w:val="left"/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>顺长神经和白肾</w:t>
      </w:r>
    </w:p>
    <w:p>
      <w:pPr>
        <w:widowControl/>
        <w:jc w:val="left"/>
      </w:pPr>
    </w:p>
    <w:p>
      <w:pPr>
        <w:widowControl/>
        <w:jc w:val="center"/>
      </w:pPr>
    </w:p>
    <w:p>
      <w:pPr>
        <w:widowControl/>
        <w:jc w:val="center"/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rPr>
        <w:rFonts w:ascii="微软雅黑" w:hAnsi="微软雅黑" w:eastAsia="微软雅黑"/>
      </w:rPr>
    </w:pPr>
    <w:r>
      <w:drawing>
        <wp:anchor distT="0" distB="0" distL="114300" distR="114300" simplePos="0" relativeHeight="251657216" behindDoc="1" locked="0" layoutInCell="1" allowOverlap="1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 xml:space="preserve">直播笔记（直播习题）                                      </w:t>
    </w:r>
    <w:r>
      <w:rPr>
        <w:rFonts w:hint="eastAsia" w:ascii="微软雅黑" w:hAnsi="微软雅黑" w:eastAsia="微软雅黑"/>
      </w:rPr>
      <w:t xml:space="preserve"> 奋斗没有终点，任何时候都是一个起点  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pict>
        <v:shape id="PowerPlusWaterMarkObject64892" o:spid="_x0000_s3073" o:spt="136" type="#_x0000_t136" style="position:absolute;left:0pt;height:79.2pt;width:508.05pt;mso-position-horizontal:center;mso-position-horizontal-relative:margin;mso-position-vertical:center;mso-position-vertical-relative:margin;rotation:-2949120f;z-index:-251658240;mso-width-relative:page;mso-height-relative:page;" fillcolor="#C0C0C0" filled="t" stroked="f" coordsize="21600,21600">
          <v:path/>
          <v:fill on="t" opacity="49807f" focussize="0,0"/>
          <v:stroke on="f"/>
          <v:imagedata o:title=""/>
          <o:lock v:ext="edit" aspectratio="t"/>
          <v:textpath on="t" fitshape="t" fitpath="t" trim="t" xscale="f" string="金英杰直播专属" style="font-family:华文行楷;font-size:36pt;v-text-align:center;"/>
        </v:shape>
      </w:pict>
    </w:r>
    <w:r>
      <w:rPr>
        <w:rFonts w:hint="eastAsia" w:ascii="微软雅黑" w:hAnsi="微软雅黑" w:eastAsia="微软雅黑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B14844E1"/>
    <w:multiLevelType w:val="singleLevel"/>
    <w:tmpl w:val="B14844E1"/>
    <w:lvl w:ilvl="0" w:tentative="0">
      <w:start w:val="9"/>
      <w:numFmt w:val="chineseCounting"/>
      <w:suff w:val="space"/>
      <w:lvlText w:val="第%1章"/>
      <w:lvlJc w:val="left"/>
      <w:rPr>
        <w:rFonts w:hint="eastAsia"/>
      </w:rPr>
    </w:lvl>
  </w:abstractNum>
  <w:abstractNum w:abstractNumId="1">
    <w:nsid w:val="35F27C6B"/>
    <w:multiLevelType w:val="singleLevel"/>
    <w:tmpl w:val="35F27C6B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hdrShapeDefaults>
    <o:shapelayout v:ext="edit">
      <o:idmap v:ext="edit" data="3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1098"/>
    <w:rsid w:val="000234AB"/>
    <w:rsid w:val="00026C26"/>
    <w:rsid w:val="0004202A"/>
    <w:rsid w:val="00073C5F"/>
    <w:rsid w:val="000776A4"/>
    <w:rsid w:val="0008793D"/>
    <w:rsid w:val="000A5D69"/>
    <w:rsid w:val="000B09B5"/>
    <w:rsid w:val="000C4189"/>
    <w:rsid w:val="0015513B"/>
    <w:rsid w:val="001553B5"/>
    <w:rsid w:val="00156DFF"/>
    <w:rsid w:val="0017595B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94F2F"/>
    <w:rsid w:val="003D5EDA"/>
    <w:rsid w:val="003F6265"/>
    <w:rsid w:val="00417886"/>
    <w:rsid w:val="00423EC5"/>
    <w:rsid w:val="00443B68"/>
    <w:rsid w:val="0049524B"/>
    <w:rsid w:val="00513986"/>
    <w:rsid w:val="005317E0"/>
    <w:rsid w:val="00537B43"/>
    <w:rsid w:val="005519B0"/>
    <w:rsid w:val="005747AC"/>
    <w:rsid w:val="005A3D08"/>
    <w:rsid w:val="005F7AAD"/>
    <w:rsid w:val="00661A99"/>
    <w:rsid w:val="00670D25"/>
    <w:rsid w:val="006903E7"/>
    <w:rsid w:val="006E40FF"/>
    <w:rsid w:val="006E4611"/>
    <w:rsid w:val="0077570B"/>
    <w:rsid w:val="00776E9C"/>
    <w:rsid w:val="007A1E5C"/>
    <w:rsid w:val="007D47AA"/>
    <w:rsid w:val="007E28CE"/>
    <w:rsid w:val="007E78AA"/>
    <w:rsid w:val="0082660B"/>
    <w:rsid w:val="008946FC"/>
    <w:rsid w:val="008B2817"/>
    <w:rsid w:val="008E3B07"/>
    <w:rsid w:val="00903CB9"/>
    <w:rsid w:val="0093310B"/>
    <w:rsid w:val="00A21E12"/>
    <w:rsid w:val="00A81966"/>
    <w:rsid w:val="00B25974"/>
    <w:rsid w:val="00B30B2D"/>
    <w:rsid w:val="00B461D1"/>
    <w:rsid w:val="00B60A88"/>
    <w:rsid w:val="00B97678"/>
    <w:rsid w:val="00BD4E1E"/>
    <w:rsid w:val="00C456AF"/>
    <w:rsid w:val="00D761CA"/>
    <w:rsid w:val="00D976CE"/>
    <w:rsid w:val="00DA5511"/>
    <w:rsid w:val="00DF0A44"/>
    <w:rsid w:val="00E16C35"/>
    <w:rsid w:val="00EA203D"/>
    <w:rsid w:val="00EA6F0F"/>
    <w:rsid w:val="00EC64CB"/>
    <w:rsid w:val="00F1300A"/>
    <w:rsid w:val="00FB0EB8"/>
    <w:rsid w:val="00FF25F2"/>
    <w:rsid w:val="08941356"/>
    <w:rsid w:val="0B883D21"/>
    <w:rsid w:val="0D0A2974"/>
    <w:rsid w:val="0ED507C9"/>
    <w:rsid w:val="108A1211"/>
    <w:rsid w:val="11584904"/>
    <w:rsid w:val="15452C1B"/>
    <w:rsid w:val="18887C75"/>
    <w:rsid w:val="19203904"/>
    <w:rsid w:val="19744260"/>
    <w:rsid w:val="1B3469CD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AC77429"/>
    <w:rsid w:val="4C364232"/>
    <w:rsid w:val="4D9762F8"/>
    <w:rsid w:val="50D069F5"/>
    <w:rsid w:val="524C286E"/>
    <w:rsid w:val="52DB5515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apple-converted-space"/>
    <w:basedOn w:val="6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4" Type="http://schemas.openxmlformats.org/officeDocument/2006/relationships/fontTable" Target="fontTable.xml"/><Relationship Id="rId43" Type="http://schemas.openxmlformats.org/officeDocument/2006/relationships/numbering" Target="numbering.xml"/><Relationship Id="rId42" Type="http://schemas.openxmlformats.org/officeDocument/2006/relationships/customXml" Target="../customXml/item1.xml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3073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26</Pages>
  <Words>3214</Words>
  <Characters>3280</Characters>
  <Lines>1</Lines>
  <Paragraphs>1</Paragraphs>
  <TotalTime>1</TotalTime>
  <ScaleCrop>false</ScaleCrop>
  <LinksUpToDate>false</LinksUpToDate>
  <CharactersWithSpaces>3376</CharactersWithSpaces>
  <Application>WPS Office_11.1.0.10116_F1E327BC-269C-435d-A152-05C5408002CA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lime</cp:lastModifiedBy>
  <dcterms:modified xsi:type="dcterms:W3CDTF">2021-01-31T07:10:53Z</dcterms:modified>
  <cp:revision>46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2052-11.1.0.10116</vt:lpwstr>
  </property>
</Properties>
</file>